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68 vom 16. Juni 2014</w:t>
      </w:r>
    </w:p>
    <w:p>
      <w:r>
        <w:t>GR Gerichte, 2014-06-16, DE</w:t>
      </w:r>
    </w:p>
    <w:p>
      <w:r>
        <w:rPr>
          <w:b/>
        </w:rPr>
        <w:t xml:space="preserve">Quelle: </w:t>
      </w:r>
      <w:r>
        <w:t>https://mcp.opencaselaw.ch/entscheid/gr_gerichte_ZK1 2014 68</w:t>
      </w:r>
    </w:p>
    <w:p>
      <w:r>
        <w:t>FR: GR_GERICHTE ZK1 2014 68 du 16 juin 2014</w:t>
      </w:r>
    </w:p>
    <w:p>
      <w:r>
        <w:t>IT: GR_GERICHTE ZK1 2014 68 del 16 giugno 2014</w:t>
      </w:r>
    </w:p>
    <w:p>
      <w:pPr>
        <w:pStyle w:val="Heading2"/>
      </w:pPr>
      <w:r>
        <w:t>Regeste</w:t>
      </w:r>
    </w:p>
    <w:p>
      <w:r>
        <w:t>fürsorgerische Unterbringung | KES Fürsorgerische Unterbringung</w:t>
      </w:r>
    </w:p>
    <w:p>
      <w:pPr>
        <w:pStyle w:val="Heading2"/>
      </w:pPr>
      <w:r>
        <w:t>Erwägungen</w:t>
      </w:r>
    </w:p>
    <w:p>
      <w:r>
        <w:rPr>
          <w:b/>
        </w:rPr>
        <w:t>E. 6</w:t>
      </w:r>
    </w:p>
    <w:p>
      <w:r>
        <w:t>Zusammenfassend lässt sich festhalten, dass die Voraussetzungen für eine fürsorgerische Unterbringung gemäss Art. 426 ZGB nicht (mehr) erfüllt sind. Trotz anerkannter Behandlungsbedürftigkeit geht die höchstens latent vorhandene Fremdgefährdung nicht über ein Mass hinaus, welches einen derart einschnei- denden Freiheitsentzug wie die stationäre Unterbringung in der Klinik A._____ rechtfertigen würde. Die angeordnete fürsorgerische Massnahme ist insofern nicht verhältnismässig, als die adäquate Behandlung der anerkanntermassen vorhan-</w:t>
      </w:r>
    </w:p>
    <w:p>
      <w:r>
        <w:t>Seite 14 — 15 denen Manie auch ambulant erfolgen kann. Damit ist die vorliegende Beschwerde gutzuheissen und die ärztliche Einweisungsverfügung vom 27. Mai 2014 aufzuhe- ben. Vor der umgehenden Entlassung aus der Klinik hat die ärztliche Leitung im Rahmen eines Austrittsgesprächs mit der Beschwerdeführerin ein weiterführendes Behandlungskonzept auszuarbeiten.</w:t>
      </w:r>
    </w:p>
    <w:p>
      <w:r>
        <w:rPr>
          <w:b/>
        </w:rPr>
        <w:t>E. 7</w:t>
      </w:r>
    </w:p>
    <w:p>
      <w:r>
        <w:t>In Bezug auf die Grundsätze der Kostenauflage im erwachsenenschutz- rechtlichen Beschwerdeverfahren verweisen die Art. 63 Abs. 5 und Art. 60 Abs. 2 EGzZGB subsidiär auf die Bestimmungen der ZPO. Demnach werden die Pro- zesskosten gemäss Ar. 106 Abs. 1 ZPO grundsätzlich der unterliegenden Partei auferlegt. Die Beschwerdeführerin ist mit ihrem Antrag auf sofortige Entlassung aus der Psychiatrischen Klinik A._____ vollständig durchgedrungen. Bei diesem Verfahrensausgang gehen die Kosten des Beschwerdeverfahrens von CHF 3'163.55, bestehend aus CHF 1'500.-- Gerichtsgebühr und CHF 1663.55 Gutachterkosten, zu Lasten des Kantons Graubünden. Der Beschwerdeführerin ist überdies eine aussergerichtliche Entschädigung zuzusprechen. Mangels Einrei- chung einer Honorarnoten durch Rechtsanwalt lic. iur. Tim Walker wird die aus- sergerichtliche Entschädigung nach richterlichem Ermessen festgesetzt. Ange- sichts der sich stellenden Sach- und Rechtsfragen sowie unter Berücksichtigung des erforderlichen Aufwands erscheint eine Entschädigung in Höhe von CHF 1'000.-- (inkl. Spesen und MwSt.) als angemessen.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